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Mi práctica se centra en la pintura, pero veo la pintura como un medio, no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como un fin. Dicho esto, entiendo la pintura como algo que se expande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en el espacio más allá de los límites del lienzo. Dentro de esta expansión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incluyo al espectador como un elemento más, simplemente haciéndole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partícipe o mejor dicho, cómplice de la escena que está observando.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Lo que más me interesa es generar ambientes y experiencias inmersivas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con mis instalaciones pictóricas. Cada lugar me sugiere unas maneras de ver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y trabajar, para mí es esencial que exista un diálogo entre la obra y el contexto.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Los temas que suelo tratar son bastante variados, pero siempre desde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un punto de vista íntimo. Resumiendo, diría que todo nace de la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observación.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