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40" w:lineRule="auto"/>
        <w:ind w:left="742.2000122070312" w:right="0" w:firstLine="0"/>
        <w:rPr>
          <w:rFonts w:ascii="Lemon" w:cs="Lemon" w:eastAsia="Lemon" w:hAnsi="Lemon"/>
          <w:color w:val="231f20"/>
          <w:sz w:val="20"/>
          <w:szCs w:val="20"/>
        </w:rPr>
      </w:pPr>
      <w:r w:rsidDel="00000000" w:rsidR="00000000" w:rsidRPr="00000000">
        <w:rPr>
          <w:rFonts w:ascii="Lemon" w:cs="Lemon" w:eastAsia="Lemon" w:hAnsi="Lemon"/>
          <w:color w:val="231f20"/>
          <w:sz w:val="20"/>
          <w:szCs w:val="20"/>
          <w:rtl w:val="0"/>
        </w:rPr>
        <w:t xml:space="preserve">STATEMENT  </w:t>
      </w:r>
    </w:p>
    <w:p w:rsidR="00000000" w:rsidDel="00000000" w:rsidP="00000000" w:rsidRDefault="00000000" w:rsidRPr="00000000" w14:paraId="00000002">
      <w:pPr>
        <w:widowControl w:val="0"/>
        <w:spacing w:before="846.5997314453125" w:line="359.8560047149658" w:lineRule="auto"/>
        <w:ind w:left="729.0000152587891" w:right="0" w:firstLine="7.20001220703125"/>
        <w:rPr>
          <w:color w:val="231f20"/>
          <w:sz w:val="20"/>
          <w:szCs w:val="20"/>
        </w:rPr>
      </w:pPr>
      <w:r w:rsidDel="00000000" w:rsidR="00000000" w:rsidRPr="00000000">
        <w:rPr>
          <w:color w:val="231f20"/>
          <w:sz w:val="20"/>
          <w:szCs w:val="20"/>
          <w:rtl w:val="0"/>
        </w:rPr>
        <w:t xml:space="preserve">En mi obra hay una insistencia sobre la habitabilidad de los espacios, que deriva en  un cuestionamiento sobre la “domesticación” del habitante moderno, el consumo de  ciertas formalizaciones y objetos en los interiores de las viviendas actuales, así como  en una referencia autobiográfica que articula un discurso sobre la memoria individual y  colectiva. En esa recurrencia a la imagen de los lugares y a su apropiación a través del  arte, la ciudad, el espacio público, aparece como un escenario privilegiado de la cotidianidad, con sus señas de identidad y su potencial creativo. </w:t>
      </w:r>
    </w:p>
    <w:p w:rsidR="00000000" w:rsidDel="00000000" w:rsidP="00000000" w:rsidRDefault="00000000" w:rsidRPr="00000000" w14:paraId="00000003">
      <w:pPr>
        <w:widowControl w:val="0"/>
        <w:spacing w:before="26.719970703125" w:line="359.8560905456543" w:lineRule="auto"/>
        <w:ind w:left="723.3999633789062" w:right="0" w:firstLine="12.20001220703125"/>
        <w:rPr>
          <w:color w:val="231f20"/>
          <w:sz w:val="20"/>
          <w:szCs w:val="20"/>
        </w:rPr>
      </w:pPr>
      <w:r w:rsidDel="00000000" w:rsidR="00000000" w:rsidRPr="00000000">
        <w:rPr>
          <w:color w:val="231f20"/>
          <w:sz w:val="20"/>
          <w:szCs w:val="20"/>
          <w:rtl w:val="0"/>
        </w:rPr>
        <w:t xml:space="preserve">Mediante diferentes formalizaciones, mi trabajo habla de cómo nos influye nuestro  entorno y su arquitectura, distinguiendo entre el espacio vivido, vivencial o existencial que opera inconscientemente, y el espacio físico y geométrico. Pongo el acento  además sobre diferentes estados intelectuales que se producen al relacionarnos con  nuestro entorno inmediato, cómo la necesidad emocional básica de pertenencia a un  lugar, la importancia de la visión periférica que nos integra en el espacio, y nos hace  ver detalles y situaciones que en ocasiones pasan desapercibidas, pasando de ser  meros espectadores a ser estimulados hacia otras sensaciones musculares y táctiles. El cuerpo como lugar de percepción, donde nuestra capacidad de memoria sería imposible sin una memoria corporal, recordamos a través de nuestro cuerpos tanto como  a través de nuestro sistema nervioso. </w:t>
      </w:r>
    </w:p>
    <w:p w:rsidR="00000000" w:rsidDel="00000000" w:rsidP="00000000" w:rsidRDefault="00000000" w:rsidRPr="00000000" w14:paraId="00000004">
      <w:pPr>
        <w:ind w:right="0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Lemon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emon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